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7A" w:rsidRPr="00BC2CC8" w:rsidRDefault="00245109" w:rsidP="00245109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BC2CC8">
        <w:rPr>
          <w:rFonts w:ascii="Times New Roman" w:hAnsi="Times New Roman" w:cs="Times New Roman"/>
          <w:sz w:val="24"/>
          <w:szCs w:val="24"/>
          <w:lang w:val="fr-FR"/>
        </w:rPr>
        <w:t>PROPUNERI DE TEME PENTRU PRELEGEREA PUBLICĂ – POST CONFERENȚIAR V7</w:t>
      </w:r>
    </w:p>
    <w:p w:rsidR="00245109" w:rsidRPr="00BC2CC8" w:rsidRDefault="0024510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45109" w:rsidRPr="00BC2CC8" w:rsidRDefault="00245109" w:rsidP="0024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BC2CC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1. Challenges and traps in specialized translations.</w:t>
      </w:r>
    </w:p>
    <w:p w:rsidR="00245109" w:rsidRPr="00BC2CC8" w:rsidRDefault="00245109" w:rsidP="0024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BC2CC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2. Building language awareness in specialized translations: practical solutions.</w:t>
      </w:r>
    </w:p>
    <w:p w:rsidR="00245109" w:rsidRPr="00BC2CC8" w:rsidRDefault="00245109" w:rsidP="0024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BC2CC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3. The role of the concept of "</w:t>
      </w:r>
      <w:r w:rsidRPr="00BC2C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RO"/>
        </w:rPr>
        <w:t>genre</w:t>
      </w:r>
      <w:r w:rsidRPr="00BC2CC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" in tackling specialized translations. – tema aleasă de comisie</w:t>
      </w:r>
    </w:p>
    <w:p w:rsidR="00245109" w:rsidRPr="00245109" w:rsidRDefault="00245109" w:rsidP="0024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BC2CC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4. The verticalization of the text in legal translations.</w:t>
      </w:r>
    </w:p>
    <w:p w:rsidR="00245109" w:rsidRPr="00245109" w:rsidRDefault="0024510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45109" w:rsidRPr="0024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09"/>
    <w:rsid w:val="00064905"/>
    <w:rsid w:val="001276F5"/>
    <w:rsid w:val="00245109"/>
    <w:rsid w:val="00B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E58C1-0E3C-4698-8FA3-1CDA22B0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Ruxandra Erbasu</cp:lastModifiedBy>
  <cp:revision>2</cp:revision>
  <dcterms:created xsi:type="dcterms:W3CDTF">2021-06-17T12:47:00Z</dcterms:created>
  <dcterms:modified xsi:type="dcterms:W3CDTF">2021-06-22T11:00:00Z</dcterms:modified>
</cp:coreProperties>
</file>